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4134A3" w14:textId="77777777" w:rsidR="008B4F47" w:rsidRDefault="008B4F47" w:rsidP="008105D3">
      <w:pPr>
        <w:tabs>
          <w:tab w:val="left" w:pos="8000"/>
        </w:tabs>
      </w:pPr>
    </w:p>
    <w:p w14:paraId="3D8D10AE" w14:textId="77777777" w:rsidR="008B4F47" w:rsidRPr="008B4F47" w:rsidRDefault="008B4F47" w:rsidP="008B4F47"/>
    <w:p w14:paraId="67C5B748" w14:textId="77777777" w:rsidR="008B4F47" w:rsidRPr="008B4F47" w:rsidRDefault="008B4F47" w:rsidP="008B4F47"/>
    <w:p w14:paraId="271522D2" w14:textId="77777777" w:rsidR="001E4FF1" w:rsidRPr="001E4FF1" w:rsidRDefault="001E4FF1" w:rsidP="001E4FF1">
      <w:pPr>
        <w:pStyle w:val="Heading1"/>
        <w:rPr>
          <w:rFonts w:ascii="Adobe Garamond Pro" w:hAnsi="Adobe Garamond Pro"/>
          <w:b/>
        </w:rPr>
      </w:pPr>
      <w:r w:rsidRPr="001E4FF1">
        <w:rPr>
          <w:rFonts w:ascii="Adobe Garamond Pro" w:hAnsi="Adobe Garamond Pro"/>
          <w:b/>
        </w:rPr>
        <w:t>Freedom of Information Act (FOIA) Quarterly Report</w:t>
      </w:r>
    </w:p>
    <w:p w14:paraId="70E587B6" w14:textId="77777777" w:rsidR="001E4FF1" w:rsidRPr="001E4FF1" w:rsidRDefault="001E4FF1" w:rsidP="001E4FF1">
      <w:pPr>
        <w:rPr>
          <w:rFonts w:ascii="Adobe Garamond Pro" w:hAnsi="Adobe Garamond Pro"/>
        </w:rPr>
      </w:pPr>
    </w:p>
    <w:p w14:paraId="30943E84" w14:textId="77777777"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Agency</w:t>
      </w:r>
      <w:r w:rsidRPr="001E4FF1">
        <w:rPr>
          <w:rStyle w:val="SubtleEmphasis"/>
          <w:rFonts w:ascii="Adobe Garamond Pro" w:hAnsi="Adobe Garamond Pro"/>
          <w:i w:val="0"/>
          <w:iCs w:val="0"/>
          <w:color w:val="2F5496" w:themeColor="accent1" w:themeShade="BF"/>
        </w:rPr>
        <w:t>: National Science Foundation</w:t>
      </w:r>
    </w:p>
    <w:p w14:paraId="422F08EC" w14:textId="60F05A04"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Year</w:t>
      </w:r>
      <w:r w:rsidRPr="001E4FF1">
        <w:rPr>
          <w:rStyle w:val="SubtleEmphasis"/>
          <w:rFonts w:ascii="Adobe Garamond Pro" w:hAnsi="Adobe Garamond Pro"/>
          <w:i w:val="0"/>
          <w:iCs w:val="0"/>
          <w:color w:val="2F5496" w:themeColor="accent1" w:themeShade="BF"/>
        </w:rPr>
        <w:t>: 20</w:t>
      </w:r>
      <w:r w:rsidR="00151CA9">
        <w:rPr>
          <w:rStyle w:val="SubtleEmphasis"/>
          <w:rFonts w:ascii="Adobe Garamond Pro" w:hAnsi="Adobe Garamond Pro"/>
          <w:i w:val="0"/>
          <w:iCs w:val="0"/>
          <w:color w:val="2F5496" w:themeColor="accent1" w:themeShade="BF"/>
        </w:rPr>
        <w:t>2</w:t>
      </w:r>
      <w:r w:rsidR="00C90865">
        <w:rPr>
          <w:rStyle w:val="SubtleEmphasis"/>
          <w:rFonts w:ascii="Adobe Garamond Pro" w:hAnsi="Adobe Garamond Pro"/>
          <w:i w:val="0"/>
          <w:iCs w:val="0"/>
          <w:color w:val="2F5496" w:themeColor="accent1" w:themeShade="BF"/>
        </w:rPr>
        <w:t>1</w:t>
      </w:r>
      <w:r w:rsidRPr="001E4FF1">
        <w:rPr>
          <w:rStyle w:val="SubtleEmphasis"/>
          <w:rFonts w:ascii="Adobe Garamond Pro" w:hAnsi="Adobe Garamond Pro"/>
          <w:i w:val="0"/>
          <w:iCs w:val="0"/>
          <w:color w:val="2F5496" w:themeColor="accent1" w:themeShade="BF"/>
        </w:rPr>
        <w:t xml:space="preserve"> </w:t>
      </w:r>
    </w:p>
    <w:p w14:paraId="21761DB4" w14:textId="7F14992C"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Quarter</w:t>
      </w:r>
      <w:r w:rsidRPr="001E4FF1">
        <w:rPr>
          <w:rStyle w:val="SubtleEmphasis"/>
          <w:rFonts w:ascii="Adobe Garamond Pro" w:hAnsi="Adobe Garamond Pro"/>
          <w:i w:val="0"/>
          <w:iCs w:val="0"/>
          <w:color w:val="2F5496" w:themeColor="accent1" w:themeShade="BF"/>
        </w:rPr>
        <w:t>: Q</w:t>
      </w:r>
      <w:r w:rsidR="009B510C">
        <w:rPr>
          <w:rStyle w:val="SubtleEmphasis"/>
          <w:rFonts w:ascii="Adobe Garamond Pro" w:hAnsi="Adobe Garamond Pro"/>
          <w:i w:val="0"/>
          <w:iCs w:val="0"/>
          <w:color w:val="2F5496" w:themeColor="accent1" w:themeShade="BF"/>
        </w:rPr>
        <w:t>2</w:t>
      </w:r>
    </w:p>
    <w:p w14:paraId="4B5E3F4F" w14:textId="77777777" w:rsidR="001E4FF1" w:rsidRPr="001E4FF1" w:rsidRDefault="001E4FF1" w:rsidP="001E4FF1">
      <w:pPr>
        <w:rPr>
          <w:rFonts w:ascii="Adobe Garamond Pro" w:hAnsi="Adobe Garamond Pro"/>
        </w:rPr>
      </w:pPr>
    </w:p>
    <w:p w14:paraId="79AF8706" w14:textId="77777777" w:rsidR="001E4FF1" w:rsidRPr="001E4FF1" w:rsidRDefault="001E4FF1" w:rsidP="001E4FF1">
      <w:pPr>
        <w:pStyle w:val="Heading2"/>
        <w:rPr>
          <w:rFonts w:ascii="Adobe Garamond Pro" w:hAnsi="Adobe Garamond Pro"/>
          <w:b/>
          <w:sz w:val="28"/>
        </w:rPr>
      </w:pPr>
      <w:r w:rsidRPr="001E4FF1">
        <w:rPr>
          <w:rFonts w:ascii="Adobe Garamond Pro" w:hAnsi="Adobe Garamond Pro"/>
          <w:b/>
          <w:sz w:val="28"/>
        </w:rPr>
        <w:t>10 Oldest Requests</w:t>
      </w:r>
    </w:p>
    <w:p w14:paraId="5DDBDC67" w14:textId="77777777" w:rsidR="001E4FF1" w:rsidRDefault="001E4FF1" w:rsidP="001E4FF1">
      <w:r w:rsidRPr="001E4FF1">
        <w:t>Did your agency have 10 or more perfected requests pending at the end of the last fiscal year? If so, please select the number 10. If your agency had fewer than 10, please select the correct number.</w:t>
      </w:r>
    </w:p>
    <w:p w14:paraId="56A3328F" w14:textId="77777777" w:rsidR="001E4FF1" w:rsidRPr="001E4FF1" w:rsidRDefault="001E4FF1" w:rsidP="001E4FF1"/>
    <w:p w14:paraId="4DD77B4E" w14:textId="6803F71D" w:rsidR="001E4FF1" w:rsidRPr="001E4FF1" w:rsidRDefault="001E4FF1" w:rsidP="001E4FF1">
      <w:pPr>
        <w:ind w:left="720"/>
        <w:rPr>
          <w:rFonts w:eastAsiaTheme="minorEastAsia"/>
        </w:rPr>
      </w:pPr>
      <w:r w:rsidRPr="001E4FF1">
        <w:rPr>
          <w:rFonts w:eastAsiaTheme="minorEastAsia"/>
        </w:rPr>
        <w:t xml:space="preserve">Count: </w:t>
      </w:r>
      <w:r w:rsidR="00C90865">
        <w:rPr>
          <w:rFonts w:eastAsiaTheme="minorEastAsia"/>
        </w:rPr>
        <w:t>10</w:t>
      </w:r>
    </w:p>
    <w:p w14:paraId="5EA233A1" w14:textId="77777777" w:rsidR="001E4FF1" w:rsidRPr="001E4FF1" w:rsidRDefault="001E4FF1" w:rsidP="001E4FF1">
      <w:pPr>
        <w:rPr>
          <w:sz w:val="20"/>
          <w:shd w:val="clear" w:color="auto" w:fill="FFFFFF"/>
        </w:rPr>
      </w:pPr>
    </w:p>
    <w:p w14:paraId="0FA38E98" w14:textId="77777777" w:rsidR="001E4FF1" w:rsidRDefault="001E4FF1" w:rsidP="001E4FF1">
      <w:pPr>
        <w:rPr>
          <w:shd w:val="clear" w:color="auto" w:fill="FFFFFF"/>
        </w:rPr>
      </w:pPr>
      <w:r w:rsidRPr="001E4FF1">
        <w:rPr>
          <w:shd w:val="clear" w:color="auto" w:fill="FFFFFF"/>
        </w:rPr>
        <w:t>Of the ten or fewer requests identified in your previous response, please select the number of requests your agency has closed during the current fiscal year.</w:t>
      </w:r>
    </w:p>
    <w:p w14:paraId="10A20E4D" w14:textId="77777777" w:rsidR="001E4FF1" w:rsidRPr="001E4FF1" w:rsidRDefault="001E4FF1" w:rsidP="001E4FF1">
      <w:pPr>
        <w:rPr>
          <w:shd w:val="clear" w:color="auto" w:fill="FFFFFF"/>
        </w:rPr>
      </w:pPr>
    </w:p>
    <w:p w14:paraId="340B527A" w14:textId="12491780"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0</w:t>
      </w:r>
    </w:p>
    <w:p w14:paraId="3167D622" w14:textId="77777777" w:rsidR="001E4FF1" w:rsidRPr="001E4FF1" w:rsidRDefault="001E4FF1" w:rsidP="001E4FF1">
      <w:pPr>
        <w:ind w:left="720"/>
        <w:rPr>
          <w:rFonts w:ascii="Adobe Garamond Pro" w:hAnsi="Adobe Garamond Pro"/>
        </w:rPr>
      </w:pPr>
    </w:p>
    <w:p w14:paraId="778E9896" w14:textId="77777777" w:rsidR="001E4FF1" w:rsidRPr="001E4FF1" w:rsidRDefault="001E4FF1" w:rsidP="001E4FF1">
      <w:pPr>
        <w:pStyle w:val="Heading2"/>
        <w:rPr>
          <w:rFonts w:ascii="Adobe Garamond Pro" w:hAnsi="Adobe Garamond Pro"/>
        </w:rPr>
      </w:pPr>
      <w:r w:rsidRPr="001E4FF1">
        <w:rPr>
          <w:rFonts w:ascii="Adobe Garamond Pro" w:hAnsi="Adobe Garamond Pro"/>
          <w:b/>
          <w:sz w:val="28"/>
        </w:rPr>
        <w:t>FOIA Requests Information</w:t>
      </w:r>
    </w:p>
    <w:tbl>
      <w:tblPr>
        <w:tblStyle w:val="PlainTable3"/>
        <w:tblW w:w="9350" w:type="dxa"/>
        <w:tblLook w:val="04A0" w:firstRow="1" w:lastRow="0" w:firstColumn="1" w:lastColumn="0" w:noHBand="0" w:noVBand="1"/>
      </w:tblPr>
      <w:tblGrid>
        <w:gridCol w:w="2337"/>
        <w:gridCol w:w="2337"/>
        <w:gridCol w:w="2338"/>
        <w:gridCol w:w="2338"/>
      </w:tblGrid>
      <w:tr w:rsidR="001E4FF1" w:rsidRPr="001E4FF1" w14:paraId="759F0B0A" w14:textId="77777777" w:rsidTr="001E4FF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337" w:type="dxa"/>
          </w:tcPr>
          <w:p w14:paraId="3480A236" w14:textId="77777777" w:rsidR="001E4FF1" w:rsidRPr="001E4FF1" w:rsidRDefault="001E4FF1" w:rsidP="001E4FF1">
            <w:pPr>
              <w:rPr>
                <w:sz w:val="24"/>
                <w:szCs w:val="24"/>
              </w:rPr>
            </w:pPr>
            <w:r w:rsidRPr="001E4FF1">
              <w:rPr>
                <w:sz w:val="24"/>
                <w:szCs w:val="24"/>
              </w:rPr>
              <w:t>Component</w:t>
            </w:r>
          </w:p>
        </w:tc>
        <w:tc>
          <w:tcPr>
            <w:tcW w:w="2337" w:type="dxa"/>
          </w:tcPr>
          <w:p w14:paraId="45DBC4DD"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Received in Reporting Quarter</w:t>
            </w:r>
          </w:p>
        </w:tc>
        <w:tc>
          <w:tcPr>
            <w:tcW w:w="2338" w:type="dxa"/>
          </w:tcPr>
          <w:p w14:paraId="1B1C248F" w14:textId="4C57C1DD"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Process</w:t>
            </w:r>
            <w:r w:rsidR="00151CA9">
              <w:rPr>
                <w:sz w:val="24"/>
                <w:szCs w:val="24"/>
              </w:rPr>
              <w:t>ED</w:t>
            </w:r>
            <w:r w:rsidRPr="001E4FF1">
              <w:rPr>
                <w:sz w:val="24"/>
                <w:szCs w:val="24"/>
              </w:rPr>
              <w:t xml:space="preserve"> in Reporting Quarter</w:t>
            </w:r>
          </w:p>
        </w:tc>
        <w:tc>
          <w:tcPr>
            <w:tcW w:w="2338" w:type="dxa"/>
          </w:tcPr>
          <w:p w14:paraId="21B3465C"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Backlogged as of End of Reporting Quarter</w:t>
            </w:r>
          </w:p>
        </w:tc>
      </w:tr>
      <w:tr w:rsidR="001E4FF1" w:rsidRPr="001E4FF1" w14:paraId="49412CE4" w14:textId="77777777" w:rsidTr="001E4F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17773BE" w14:textId="77777777" w:rsidR="001E4FF1" w:rsidRPr="001E4FF1" w:rsidRDefault="001E4FF1" w:rsidP="001E4FF1">
            <w:pPr>
              <w:rPr>
                <w:sz w:val="24"/>
                <w:szCs w:val="24"/>
              </w:rPr>
            </w:pPr>
            <w:r w:rsidRPr="001E4FF1">
              <w:rPr>
                <w:sz w:val="24"/>
                <w:szCs w:val="24"/>
              </w:rPr>
              <w:t>OGC</w:t>
            </w:r>
          </w:p>
        </w:tc>
        <w:tc>
          <w:tcPr>
            <w:tcW w:w="2337" w:type="dxa"/>
          </w:tcPr>
          <w:p w14:paraId="0EA03CA2" w14:textId="7F5FE11C" w:rsidR="001E4FF1" w:rsidRPr="001E4FF1" w:rsidRDefault="001353FA"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46</w:t>
            </w:r>
          </w:p>
        </w:tc>
        <w:tc>
          <w:tcPr>
            <w:tcW w:w="2338" w:type="dxa"/>
          </w:tcPr>
          <w:p w14:paraId="3442C907" w14:textId="703C4393" w:rsidR="001E4FF1" w:rsidRPr="001E4FF1" w:rsidRDefault="00A96C30"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r w:rsidR="00E659E5">
              <w:rPr>
                <w:sz w:val="24"/>
                <w:szCs w:val="24"/>
              </w:rPr>
              <w:t>4</w:t>
            </w:r>
          </w:p>
        </w:tc>
        <w:tc>
          <w:tcPr>
            <w:tcW w:w="2338" w:type="dxa"/>
          </w:tcPr>
          <w:p w14:paraId="0126D189" w14:textId="78B7E47B" w:rsidR="001E4FF1" w:rsidRPr="001E4FF1" w:rsidRDefault="00D5520C"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385</w:t>
            </w:r>
          </w:p>
        </w:tc>
      </w:tr>
      <w:tr w:rsidR="001E4FF1" w:rsidRPr="001E4FF1" w14:paraId="63717E6C" w14:textId="77777777" w:rsidTr="001E4FF1">
        <w:tc>
          <w:tcPr>
            <w:cnfStyle w:val="001000000000" w:firstRow="0" w:lastRow="0" w:firstColumn="1" w:lastColumn="0" w:oddVBand="0" w:evenVBand="0" w:oddHBand="0" w:evenHBand="0" w:firstRowFirstColumn="0" w:firstRowLastColumn="0" w:lastRowFirstColumn="0" w:lastRowLastColumn="0"/>
            <w:tcW w:w="2337" w:type="dxa"/>
          </w:tcPr>
          <w:p w14:paraId="6464028A" w14:textId="77777777" w:rsidR="001E4FF1" w:rsidRPr="001E4FF1" w:rsidRDefault="001E4FF1" w:rsidP="001E4FF1">
            <w:pPr>
              <w:rPr>
                <w:sz w:val="24"/>
                <w:szCs w:val="24"/>
              </w:rPr>
            </w:pPr>
            <w:r w:rsidRPr="001E4FF1">
              <w:rPr>
                <w:sz w:val="24"/>
                <w:szCs w:val="24"/>
              </w:rPr>
              <w:t>OIG</w:t>
            </w:r>
          </w:p>
        </w:tc>
        <w:tc>
          <w:tcPr>
            <w:tcW w:w="2337" w:type="dxa"/>
          </w:tcPr>
          <w:p w14:paraId="6BC25A05" w14:textId="7AFAB22B" w:rsidR="001E4FF1" w:rsidRPr="001E4FF1" w:rsidRDefault="009B510C"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8</w:t>
            </w:r>
          </w:p>
        </w:tc>
        <w:tc>
          <w:tcPr>
            <w:tcW w:w="2338" w:type="dxa"/>
          </w:tcPr>
          <w:p w14:paraId="1A04759E" w14:textId="676A3830" w:rsidR="001E4FF1" w:rsidRPr="001E4FF1" w:rsidRDefault="00866783"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w:t>
            </w:r>
          </w:p>
        </w:tc>
        <w:tc>
          <w:tcPr>
            <w:tcW w:w="2338" w:type="dxa"/>
          </w:tcPr>
          <w:p w14:paraId="3820F55B" w14:textId="514F25FF" w:rsidR="001E4FF1" w:rsidRPr="001E4FF1" w:rsidRDefault="00866783"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w:t>
            </w:r>
          </w:p>
        </w:tc>
      </w:tr>
    </w:tbl>
    <w:p w14:paraId="140BD153" w14:textId="77777777" w:rsidR="001E4FF1" w:rsidRDefault="001E4FF1" w:rsidP="001E4FF1"/>
    <w:p w14:paraId="246A19B2" w14:textId="77777777" w:rsidR="001E4FF1" w:rsidRPr="00F5225D" w:rsidRDefault="001E4FF1" w:rsidP="001E4FF1"/>
    <w:p w14:paraId="15689284" w14:textId="77777777" w:rsidR="008105D3" w:rsidRPr="008B4F47" w:rsidRDefault="008B4F47" w:rsidP="008B4F47">
      <w:pPr>
        <w:tabs>
          <w:tab w:val="left" w:pos="5420"/>
        </w:tabs>
      </w:pPr>
      <w:r>
        <w:tab/>
      </w:r>
    </w:p>
    <w:sectPr w:rsidR="008105D3" w:rsidRPr="008B4F47" w:rsidSect="0003496E">
      <w:headerReference w:type="default" r:id="rId10"/>
      <w:footerReference w:type="default" r:id="rId11"/>
      <w:pgSz w:w="12240" w:h="15840"/>
      <w:pgMar w:top="1440" w:right="1440" w:bottom="1440" w:left="1440" w:header="1008"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ED1A0" w14:textId="77777777" w:rsidR="00D15B98" w:rsidRDefault="00D15B98" w:rsidP="00687F92">
      <w:r>
        <w:separator/>
      </w:r>
    </w:p>
  </w:endnote>
  <w:endnote w:type="continuationSeparator" w:id="0">
    <w:p w14:paraId="56474CEC" w14:textId="77777777" w:rsidR="00D15B98" w:rsidRDefault="00D15B98" w:rsidP="00687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CenMT-Bold">
    <w:altName w:val="Calibri"/>
    <w:charset w:val="4D"/>
    <w:family w:val="auto"/>
    <w:pitch w:val="default"/>
    <w:sig w:usb0="00000003" w:usb1="00000000" w:usb2="00000000" w:usb3="00000000" w:csb0="00000001" w:csb1="00000000"/>
  </w:font>
  <w:font w:name="Adobe Garamond Pro">
    <w:altName w:val="Georgia"/>
    <w:panose1 w:val="00000000000000000000"/>
    <w:charset w:val="00"/>
    <w:family w:val="roman"/>
    <w:notTrueType/>
    <w:pitch w:val="variable"/>
    <w:sig w:usb0="00000001" w:usb1="00000001" w:usb2="00000000" w:usb3="00000000" w:csb0="00000093" w:csb1="00000000"/>
  </w:font>
  <w:font w:name="Garamond">
    <w:panose1 w:val="02020404030301010803"/>
    <w:charset w:val="00"/>
    <w:family w:val="roman"/>
    <w:pitch w:val="variable"/>
    <w:sig w:usb0="00000287" w:usb1="00000000" w:usb2="00000000" w:usb3="00000000" w:csb0="0000009F" w:csb1="00000000"/>
  </w:font>
  <w:font w:name="TwCenMT-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771BD" w14:textId="77777777" w:rsidR="008105D3" w:rsidRDefault="0003496E">
    <w:pPr>
      <w:pStyle w:val="Footer"/>
    </w:pPr>
    <w:r>
      <w:rPr>
        <w:noProof/>
      </w:rPr>
      <mc:AlternateContent>
        <mc:Choice Requires="wps">
          <w:drawing>
            <wp:anchor distT="0" distB="0" distL="114300" distR="114300" simplePos="0" relativeHeight="251659264" behindDoc="0" locked="0" layoutInCell="1" allowOverlap="1" wp14:anchorId="3F809201" wp14:editId="426E11EC">
              <wp:simplePos x="0" y="0"/>
              <wp:positionH relativeFrom="column">
                <wp:posOffset>-838200</wp:posOffset>
              </wp:positionH>
              <wp:positionV relativeFrom="paragraph">
                <wp:posOffset>219710</wp:posOffset>
              </wp:positionV>
              <wp:extent cx="7620000" cy="317500"/>
              <wp:effectExtent l="0" t="0" r="0" b="0"/>
              <wp:wrapNone/>
              <wp:docPr id="5" name="Text Box 5"/>
              <wp:cNvGraphicFramePr/>
              <a:graphic xmlns:a="http://schemas.openxmlformats.org/drawingml/2006/main">
                <a:graphicData uri="http://schemas.microsoft.com/office/word/2010/wordprocessingShape">
                  <wps:wsp>
                    <wps:cNvSpPr txBox="1"/>
                    <wps:spPr>
                      <a:xfrm>
                        <a:off x="0" y="0"/>
                        <a:ext cx="7620000" cy="317500"/>
                      </a:xfrm>
                      <a:prstGeom prst="rect">
                        <a:avLst/>
                      </a:prstGeom>
                      <a:noFill/>
                      <a:ln w="6350">
                        <a:noFill/>
                      </a:ln>
                    </wps:spPr>
                    <wps:txb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809201" id="_x0000_t202" coordsize="21600,21600" o:spt="202" path="m,l,21600r21600,l21600,xe">
              <v:stroke joinstyle="miter"/>
              <v:path gradientshapeok="t" o:connecttype="rect"/>
            </v:shapetype>
            <v:shape id="Text Box 5" o:spid="_x0000_s1027" type="#_x0000_t202" style="position:absolute;margin-left:-66pt;margin-top:17.3pt;width:600pt;height: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" filled="f" stroked="f" strokeweight=".5pt">
              <v:textbo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v:textbox>
            </v:shape>
          </w:pict>
        </mc:Fallback>
      </mc:AlternateContent>
    </w:r>
  </w:p>
  <w:p w14:paraId="02E34352" w14:textId="77777777" w:rsidR="008105D3" w:rsidRDefault="008105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85C893" w14:textId="77777777" w:rsidR="00D15B98" w:rsidRDefault="00D15B98" w:rsidP="00687F92">
      <w:r>
        <w:separator/>
      </w:r>
    </w:p>
  </w:footnote>
  <w:footnote w:type="continuationSeparator" w:id="0">
    <w:p w14:paraId="00DA8F3D" w14:textId="77777777" w:rsidR="00D15B98" w:rsidRDefault="00D15B98" w:rsidP="00687F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A019D" w14:textId="77777777" w:rsidR="00687F92" w:rsidRPr="00687F92" w:rsidRDefault="00E841DE" w:rsidP="008105D3">
    <w:pPr>
      <w:pStyle w:val="Header"/>
      <w:jc w:val="right"/>
    </w:pPr>
    <w:r>
      <w:rPr>
        <w:noProof/>
      </w:rPr>
      <mc:AlternateContent>
        <mc:Choice Requires="wps">
          <w:drawing>
            <wp:anchor distT="0" distB="0" distL="114300" distR="114300" simplePos="0" relativeHeight="251665408" behindDoc="1" locked="0" layoutInCell="1" allowOverlap="1" wp14:anchorId="7E167CA9" wp14:editId="3FB96DD5">
              <wp:simplePos x="0" y="0"/>
              <wp:positionH relativeFrom="column">
                <wp:posOffset>818515</wp:posOffset>
              </wp:positionH>
              <wp:positionV relativeFrom="paragraph">
                <wp:posOffset>102235</wp:posOffset>
              </wp:positionV>
              <wp:extent cx="2564130" cy="55753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4130" cy="557530"/>
                      </a:xfrm>
                      <a:prstGeom prst="rect">
                        <a:avLst/>
                      </a:prstGeom>
                      <a:noFill/>
                      <a:ln w="9525">
                        <a:noFill/>
                        <a:miter lim="800000"/>
                        <a:headEnd/>
                        <a:tailEnd/>
                      </a:ln>
                    </wps:spPr>
                    <wps:txbx>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type w14:anchorId="7E167CA9" id="_x0000_t202" coordsize="21600,21600" o:spt="202" path="m,l,21600r21600,l21600,xe">
              <v:stroke joinstyle="miter"/>
              <v:path gradientshapeok="t" o:connecttype="rect"/>
            </v:shapetype>
            <v:shape id="Text Box 2" o:spid="_x0000_s1026" type="#_x0000_t202" style="position:absolute;left:0;text-align:left;margin-left:64.45pt;margin-top:8.05pt;width:201.9pt;height:43.9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" filled="f" stroked="f">
              <v:textbox style="mso-fit-shape-to-text:t">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v:textbox>
            </v:shape>
          </w:pict>
        </mc:Fallback>
      </mc:AlternateContent>
    </w:r>
    <w:r>
      <w:rPr>
        <w:noProof/>
      </w:rPr>
      <w:drawing>
        <wp:anchor distT="0" distB="0" distL="114300" distR="114300" simplePos="0" relativeHeight="251664384" behindDoc="1" locked="0" layoutInCell="1" allowOverlap="1" wp14:anchorId="47B769C2" wp14:editId="62610819">
          <wp:simplePos x="0" y="0"/>
          <wp:positionH relativeFrom="column">
            <wp:posOffset>0</wp:posOffset>
          </wp:positionH>
          <wp:positionV relativeFrom="paragraph">
            <wp:posOffset>-173355</wp:posOffset>
          </wp:positionV>
          <wp:extent cx="877570" cy="877570"/>
          <wp:effectExtent l="0" t="0" r="0" b="0"/>
          <wp:wrapNone/>
          <wp:docPr id="1" name="Picture 1" descr="C:\Users\aapodaca\AppData\Local\Microsoft\Windows\INetCache\Content.Word\BitmapLogo_NOLayers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aapodaca\AppData\Local\Microsoft\Windows\INetCache\Content.Word\BitmapLogo_NOLayers_F.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7570" cy="87757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33"/>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F92"/>
    <w:rsid w:val="0003496E"/>
    <w:rsid w:val="0005173A"/>
    <w:rsid w:val="001353FA"/>
    <w:rsid w:val="00142E7A"/>
    <w:rsid w:val="00151CA9"/>
    <w:rsid w:val="00176DBF"/>
    <w:rsid w:val="001E4FF1"/>
    <w:rsid w:val="00207DF2"/>
    <w:rsid w:val="002226EB"/>
    <w:rsid w:val="002502AE"/>
    <w:rsid w:val="00333C4C"/>
    <w:rsid w:val="004F6C45"/>
    <w:rsid w:val="00557715"/>
    <w:rsid w:val="00683CA4"/>
    <w:rsid w:val="00687F92"/>
    <w:rsid w:val="006D0E14"/>
    <w:rsid w:val="006E4F8B"/>
    <w:rsid w:val="006F7042"/>
    <w:rsid w:val="0075100B"/>
    <w:rsid w:val="007526A9"/>
    <w:rsid w:val="00800643"/>
    <w:rsid w:val="008105D3"/>
    <w:rsid w:val="00827313"/>
    <w:rsid w:val="00866783"/>
    <w:rsid w:val="008753AB"/>
    <w:rsid w:val="008B4F47"/>
    <w:rsid w:val="008E4BD8"/>
    <w:rsid w:val="009407AD"/>
    <w:rsid w:val="0096038C"/>
    <w:rsid w:val="009B1FD1"/>
    <w:rsid w:val="009B510C"/>
    <w:rsid w:val="009F08A8"/>
    <w:rsid w:val="00A1603B"/>
    <w:rsid w:val="00A70102"/>
    <w:rsid w:val="00A96C30"/>
    <w:rsid w:val="00B32F86"/>
    <w:rsid w:val="00B8353A"/>
    <w:rsid w:val="00C90865"/>
    <w:rsid w:val="00CB0841"/>
    <w:rsid w:val="00CC562F"/>
    <w:rsid w:val="00D15B98"/>
    <w:rsid w:val="00D5520C"/>
    <w:rsid w:val="00D85A74"/>
    <w:rsid w:val="00E659E5"/>
    <w:rsid w:val="00E841DE"/>
    <w:rsid w:val="00E93A8F"/>
    <w:rsid w:val="00F04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4F844E"/>
  <w15:chartTrackingRefBased/>
  <w15:docId w15:val="{80FB1904-C32C-9F4A-90CF-FA262CFEC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E4FF1"/>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E4FF1"/>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87F92"/>
    <w:pPr>
      <w:tabs>
        <w:tab w:val="center" w:pos="4680"/>
        <w:tab w:val="right" w:pos="9360"/>
      </w:tabs>
    </w:pPr>
  </w:style>
  <w:style w:type="character" w:customStyle="1" w:styleId="HeaderChar">
    <w:name w:val="Header Char"/>
    <w:basedOn w:val="DefaultParagraphFont"/>
    <w:link w:val="Header"/>
    <w:uiPriority w:val="99"/>
    <w:rsid w:val="00687F92"/>
  </w:style>
  <w:style w:type="paragraph" w:styleId="Footer">
    <w:name w:val="footer"/>
    <w:basedOn w:val="Normal"/>
    <w:link w:val="FooterChar"/>
    <w:uiPriority w:val="99"/>
    <w:unhideWhenUsed/>
    <w:rsid w:val="00687F92"/>
    <w:pPr>
      <w:tabs>
        <w:tab w:val="center" w:pos="4680"/>
        <w:tab w:val="right" w:pos="9360"/>
      </w:tabs>
    </w:pPr>
  </w:style>
  <w:style w:type="character" w:customStyle="1" w:styleId="FooterChar">
    <w:name w:val="Footer Char"/>
    <w:basedOn w:val="DefaultParagraphFont"/>
    <w:link w:val="Footer"/>
    <w:uiPriority w:val="99"/>
    <w:rsid w:val="00687F92"/>
  </w:style>
  <w:style w:type="paragraph" w:customStyle="1" w:styleId="Subheader">
    <w:name w:val="Subheader"/>
    <w:basedOn w:val="Normal"/>
    <w:uiPriority w:val="99"/>
    <w:rsid w:val="008105D3"/>
    <w:pPr>
      <w:suppressAutoHyphens/>
      <w:autoSpaceDE w:val="0"/>
      <w:autoSpaceDN w:val="0"/>
      <w:adjustRightInd w:val="0"/>
      <w:spacing w:after="20" w:line="288" w:lineRule="auto"/>
      <w:textAlignment w:val="center"/>
    </w:pPr>
    <w:rPr>
      <w:rFonts w:ascii="TwCenMT-Bold" w:hAnsi="TwCenMT-Bold" w:cs="TwCenMT-Bold"/>
      <w:b/>
      <w:bCs/>
      <w:caps/>
      <w:color w:val="007544"/>
      <w:sz w:val="22"/>
      <w:szCs w:val="22"/>
    </w:rPr>
  </w:style>
  <w:style w:type="character" w:customStyle="1" w:styleId="Heading1Char">
    <w:name w:val="Heading 1 Char"/>
    <w:basedOn w:val="DefaultParagraphFont"/>
    <w:link w:val="Heading1"/>
    <w:uiPriority w:val="9"/>
    <w:rsid w:val="001E4FF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E4FF1"/>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1E4FF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E4FF1"/>
    <w:rPr>
      <w:rFonts w:asciiTheme="majorHAnsi" w:eastAsiaTheme="majorEastAsia" w:hAnsiTheme="majorHAnsi" w:cstheme="majorBidi"/>
      <w:spacing w:val="-10"/>
      <w:kern w:val="28"/>
      <w:sz w:val="56"/>
      <w:szCs w:val="56"/>
    </w:rPr>
  </w:style>
  <w:style w:type="table" w:styleId="PlainTable3">
    <w:name w:val="Plain Table 3"/>
    <w:basedOn w:val="TableNormal"/>
    <w:uiPriority w:val="43"/>
    <w:rsid w:val="001E4FF1"/>
    <w:rPr>
      <w:rFonts w:eastAsiaTheme="minorEastAsia"/>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ubtleEmphasis">
    <w:name w:val="Subtle Emphasis"/>
    <w:basedOn w:val="DefaultParagraphFont"/>
    <w:uiPriority w:val="19"/>
    <w:qFormat/>
    <w:rsid w:val="001E4FF1"/>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19AB21F91937A4CA511AA968E3C7EE3" ma:contentTypeVersion="0" ma:contentTypeDescription="Create a new document." ma:contentTypeScope="" ma:versionID="0fd6099a21d5e75f97fb2bdac0ed5ddf">
  <xsd:schema xmlns:xsd="http://www.w3.org/2001/XMLSchema" xmlns:xs="http://www.w3.org/2001/XMLSchema" xmlns:p="http://schemas.microsoft.com/office/2006/metadata/properties" targetNamespace="http://schemas.microsoft.com/office/2006/metadata/properties" ma:root="true" ma:fieldsID="067e30616eeadeb776f014c5fbcfd81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DB927DD-233F-4BF5-AB03-5D91B6A5AB45}">
  <ds:schemaRefs>
    <ds:schemaRef ds:uri="http://schemas.microsoft.com/sharepoint/v3/contenttype/forms"/>
  </ds:schemaRefs>
</ds:datastoreItem>
</file>

<file path=customXml/itemProps2.xml><?xml version="1.0" encoding="utf-8"?>
<ds:datastoreItem xmlns:ds="http://schemas.openxmlformats.org/officeDocument/2006/customXml" ds:itemID="{4A24B3EE-D63F-4F94-B58E-BAFE8C4EC8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B2C5725A-0A62-49A9-A019-E16238042309}">
  <ds:schemaRefs>
    <ds:schemaRef ds:uri="http://schemas.openxmlformats.org/officeDocument/2006/bibliography"/>
  </ds:schemaRefs>
</ds:datastoreItem>
</file>

<file path=customXml/itemProps4.xml><?xml version="1.0" encoding="utf-8"?>
<ds:datastoreItem xmlns:ds="http://schemas.openxmlformats.org/officeDocument/2006/customXml" ds:itemID="{4BD90C43-18B3-4DD3-AE14-368654D7E72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Pages>
  <Words>109</Words>
  <Characters>624</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FOIA FY19 Q2 Report</vt:lpstr>
    </vt:vector>
  </TitlesOfParts>
  <Company/>
  <LinksUpToDate>false</LinksUpToDate>
  <CharactersWithSpaces>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FOIA FY19 Q2 Report</dc:title>
  <dc:subject/>
  <dc:creator>Sandra Evans</dc:creator>
  <cp:keywords>FOIA</cp:keywords>
  <dc:description/>
  <cp:lastModifiedBy>Cyr, Daniel (Contractor)</cp:lastModifiedBy>
  <cp:revision>11</cp:revision>
  <cp:lastPrinted>2018-02-05T20:41:00Z</cp:lastPrinted>
  <dcterms:created xsi:type="dcterms:W3CDTF">2021-02-03T20:27:00Z</dcterms:created>
  <dcterms:modified xsi:type="dcterms:W3CDTF">2021-04-21T17:03:00Z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0x010100A19AB21F91937A4CA511AA968E3C7EE3</vt:lpwstr>
  </property>
</Properties>
</file>